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09AC" w:rsidRDefault="006509AC" w:rsidP="006509AC">
      <w:pPr>
        <w:rPr>
          <w:b/>
          <w:lang w:val="en-US"/>
        </w:rPr>
      </w:pPr>
      <w:r w:rsidRPr="00857788">
        <w:rPr>
          <w:b/>
          <w:lang w:val="en-US"/>
        </w:rPr>
        <w:t xml:space="preserve">Creating Effective Networks   - Week </w:t>
      </w:r>
      <w:r>
        <w:rPr>
          <w:b/>
          <w:lang w:val="en-US"/>
        </w:rPr>
        <w:t>3 - (22-28</w:t>
      </w:r>
      <w:r w:rsidRPr="00857788">
        <w:rPr>
          <w:b/>
          <w:lang w:val="en-US"/>
        </w:rPr>
        <w:t xml:space="preserve"> October, 2012)</w:t>
      </w:r>
      <w:r>
        <w:rPr>
          <w:b/>
          <w:lang w:val="en-US"/>
        </w:rPr>
        <w:t>:   COMPLEX vs. COMPLICATED</w:t>
      </w:r>
    </w:p>
    <w:p w:rsidR="006509AC" w:rsidRDefault="006509AC" w:rsidP="006509AC">
      <w:pPr>
        <w:rPr>
          <w:b/>
          <w:lang w:val="en-US"/>
        </w:rPr>
      </w:pPr>
    </w:p>
    <w:p w:rsidR="006509AC" w:rsidRDefault="006509AC" w:rsidP="006509AC">
      <w:pPr>
        <w:rPr>
          <w:lang w:val="en-US"/>
        </w:rPr>
      </w:pPr>
      <w:r w:rsidRPr="006509AC">
        <w:rPr>
          <w:lang w:val="en-US"/>
        </w:rPr>
        <w:t xml:space="preserve">1. What kind of </w:t>
      </w:r>
      <w:r>
        <w:rPr>
          <w:lang w:val="en-US"/>
        </w:rPr>
        <w:t xml:space="preserve">problems does your network (or </w:t>
      </w:r>
      <w:proofErr w:type="spellStart"/>
      <w:r>
        <w:rPr>
          <w:lang w:val="en-US"/>
        </w:rPr>
        <w:t>CoP</w:t>
      </w:r>
      <w:proofErr w:type="spellEnd"/>
      <w:r>
        <w:rPr>
          <w:lang w:val="en-US"/>
        </w:rPr>
        <w:t xml:space="preserve">) deal with?  Do they seem of a “hidden order” or rather a complex un-order?   (See Steve’s Blog on </w:t>
      </w:r>
      <w:r w:rsidRPr="006509AC">
        <w:rPr>
          <w:i/>
          <w:lang w:val="en-US"/>
        </w:rPr>
        <w:t>Seven Complexity Implications for Multi-Stakeholder Networks</w:t>
      </w:r>
      <w:r>
        <w:rPr>
          <w:lang w:val="en-US"/>
        </w:rPr>
        <w:t>):</w:t>
      </w:r>
    </w:p>
    <w:p w:rsidR="006509AC" w:rsidRDefault="00ED6A98" w:rsidP="006509AC">
      <w:pPr>
        <w:rPr>
          <w:lang w:val="en-US"/>
        </w:rPr>
      </w:pPr>
      <w:hyperlink r:id="rId6" w:history="1">
        <w:r w:rsidR="006509AC" w:rsidRPr="006509AC">
          <w:rPr>
            <w:rStyle w:val="Hyperlink"/>
            <w:lang w:val="en-US"/>
          </w:rPr>
          <w:t>http://networkingaction.net/2010/12/seven-complexity-implications-for-multi-stakeholder-networks/</w:t>
        </w:r>
      </w:hyperlink>
    </w:p>
    <w:p w:rsidR="006509AC" w:rsidRDefault="005E7784" w:rsidP="006509AC">
      <w:pPr>
        <w:rPr>
          <w:lang w:val="en-US"/>
        </w:rPr>
      </w:pPr>
      <w:r>
        <w:rPr>
          <w:lang w:val="en-US"/>
        </w:rPr>
        <w:t>2. Which consequences would it</w:t>
      </w:r>
      <w:r w:rsidR="006509AC">
        <w:rPr>
          <w:lang w:val="en-US"/>
        </w:rPr>
        <w:t xml:space="preserve"> have for the activity and structure of your network – if the issues at hand were either of the one or the other order?  What if they are mixed? </w:t>
      </w:r>
    </w:p>
    <w:p w:rsidR="00B8110F" w:rsidRDefault="006509AC" w:rsidP="006509AC">
      <w:pPr>
        <w:rPr>
          <w:lang w:val="en-US"/>
        </w:rPr>
      </w:pPr>
      <w:r>
        <w:rPr>
          <w:lang w:val="en-US"/>
        </w:rPr>
        <w:t xml:space="preserve">3. Whether issues fall under a </w:t>
      </w:r>
      <w:r w:rsidRPr="006509AC">
        <w:rPr>
          <w:i/>
          <w:lang w:val="en-US"/>
        </w:rPr>
        <w:t>hidden order</w:t>
      </w:r>
      <w:r>
        <w:rPr>
          <w:lang w:val="en-US"/>
        </w:rPr>
        <w:t xml:space="preserve"> or a </w:t>
      </w:r>
      <w:r w:rsidRPr="006509AC">
        <w:rPr>
          <w:i/>
          <w:lang w:val="en-US"/>
        </w:rPr>
        <w:t>complex un-order</w:t>
      </w:r>
      <w:r>
        <w:rPr>
          <w:lang w:val="en-US"/>
        </w:rPr>
        <w:t xml:space="preserve"> is often contested, leading proponents to argue in </w:t>
      </w:r>
      <w:proofErr w:type="spellStart"/>
      <w:r>
        <w:rPr>
          <w:lang w:val="en-US"/>
        </w:rPr>
        <w:t>favour</w:t>
      </w:r>
      <w:proofErr w:type="spellEnd"/>
      <w:r>
        <w:rPr>
          <w:lang w:val="en-US"/>
        </w:rPr>
        <w:t xml:space="preserve"> of different learning strategies. Did you experience this in your own environment?</w:t>
      </w:r>
    </w:p>
    <w:p w:rsidR="006509AC" w:rsidRDefault="00B8110F" w:rsidP="006509AC">
      <w:pPr>
        <w:rPr>
          <w:lang w:val="en-US"/>
        </w:rPr>
      </w:pPr>
      <w:r>
        <w:rPr>
          <w:lang w:val="en-US"/>
        </w:rPr>
        <w:t xml:space="preserve">4. In which “generation of knowledge management (KM)” would you group your network’s KM activities? </w:t>
      </w:r>
    </w:p>
    <w:p w:rsidR="00B8110F" w:rsidRDefault="00B8110F" w:rsidP="006509AC">
      <w:pPr>
        <w:rPr>
          <w:lang w:val="en-US"/>
        </w:rPr>
      </w:pPr>
      <w:r>
        <w:rPr>
          <w:lang w:val="en-US"/>
        </w:rPr>
        <w:t xml:space="preserve">5. If the “third generation requires the clear separation of context, narrative and content management” </w:t>
      </w:r>
      <w:r w:rsidR="00C81C6D">
        <w:rPr>
          <w:lang w:val="en-US"/>
        </w:rPr>
        <w:t>(</w:t>
      </w:r>
      <w:r>
        <w:rPr>
          <w:lang w:val="en-US"/>
        </w:rPr>
        <w:t xml:space="preserve">Snowden, abstract), - what would that concretely mean for your network’s KM activities? </w:t>
      </w:r>
    </w:p>
    <w:p w:rsidR="009112AA" w:rsidRDefault="009112AA" w:rsidP="006509AC">
      <w:pPr>
        <w:rPr>
          <w:lang w:val="en-US"/>
        </w:rPr>
      </w:pPr>
      <w:r>
        <w:rPr>
          <w:lang w:val="en-US"/>
        </w:rPr>
        <w:t>6. In how far is the “knowledge” th</w:t>
      </w:r>
      <w:r w:rsidR="005E7784">
        <w:rPr>
          <w:lang w:val="en-US"/>
        </w:rPr>
        <w:t>at you want to have access to</w:t>
      </w:r>
      <w:r>
        <w:rPr>
          <w:lang w:val="en-US"/>
        </w:rPr>
        <w:t xml:space="preserve"> of</w:t>
      </w:r>
      <w:r w:rsidR="005E7784">
        <w:rPr>
          <w:lang w:val="en-US"/>
        </w:rPr>
        <w:t xml:space="preserve"> a</w:t>
      </w:r>
      <w:r>
        <w:rPr>
          <w:lang w:val="en-US"/>
        </w:rPr>
        <w:t xml:space="preserve"> “collective na</w:t>
      </w:r>
      <w:r w:rsidR="005E7784">
        <w:rPr>
          <w:lang w:val="en-US"/>
        </w:rPr>
        <w:t>ture”</w:t>
      </w:r>
      <w:r>
        <w:rPr>
          <w:lang w:val="en-US"/>
        </w:rPr>
        <w:t xml:space="preserve"> (Snowden, p. 101)? </w:t>
      </w:r>
    </w:p>
    <w:p w:rsidR="009112AA" w:rsidRDefault="009112AA" w:rsidP="006509AC">
      <w:pPr>
        <w:rPr>
          <w:lang w:val="en-US"/>
        </w:rPr>
      </w:pPr>
      <w:r>
        <w:rPr>
          <w:lang w:val="en-US"/>
        </w:rPr>
        <w:t>7.  Snowden assumes we all know the SECI model. I did not. Here is the “simple two by two” – “too well established … to be restored to its original intent” (Snowden, p. 101):</w:t>
      </w:r>
      <w:r w:rsidRPr="009112AA">
        <w:rPr>
          <w:noProof/>
          <w:lang w:val="en-US" w:eastAsia="nl-NL"/>
        </w:rPr>
        <w:t xml:space="preserve"> </w:t>
      </w:r>
      <w:r>
        <w:rPr>
          <w:noProof/>
          <w:lang w:eastAsia="nl-NL"/>
        </w:rPr>
        <w:drawing>
          <wp:inline distT="0" distB="0" distL="0" distR="0">
            <wp:extent cx="4274820" cy="2887980"/>
            <wp:effectExtent l="19050" t="0" r="0" b="0"/>
            <wp:docPr id="3" name="Picture 1" descr="http://www.12manage.com/images/picture_nonaka_seci_mod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12manage.com/images/picture_nonaka_seci_model.gif"/>
                    <pic:cNvPicPr>
                      <a:picLocks noChangeAspect="1" noChangeArrowheads="1"/>
                    </pic:cNvPicPr>
                  </pic:nvPicPr>
                  <pic:blipFill>
                    <a:blip r:embed="rId7" cstate="print"/>
                    <a:srcRect/>
                    <a:stretch>
                      <a:fillRect/>
                    </a:stretch>
                  </pic:blipFill>
                  <pic:spPr bwMode="auto">
                    <a:xfrm>
                      <a:off x="0" y="0"/>
                      <a:ext cx="4274820" cy="2887980"/>
                    </a:xfrm>
                    <a:prstGeom prst="rect">
                      <a:avLst/>
                    </a:prstGeom>
                    <a:noFill/>
                    <a:ln w="9525">
                      <a:noFill/>
                      <a:miter lim="800000"/>
                      <a:headEnd/>
                      <a:tailEnd/>
                    </a:ln>
                  </pic:spPr>
                </pic:pic>
              </a:graphicData>
            </a:graphic>
          </wp:inline>
        </w:drawing>
      </w:r>
    </w:p>
    <w:p w:rsidR="009112AA" w:rsidRDefault="00ED6A98" w:rsidP="006509AC">
      <w:pPr>
        <w:rPr>
          <w:lang w:val="en-US"/>
        </w:rPr>
      </w:pPr>
      <w:hyperlink r:id="rId8" w:history="1">
        <w:r w:rsidR="00C173B3" w:rsidRPr="00C173B3">
          <w:rPr>
            <w:rStyle w:val="Hyperlink"/>
            <w:lang w:val="en-US"/>
          </w:rPr>
          <w:t>http://www.12manage.com/methods_nonaka_seci.html</w:t>
        </w:r>
      </w:hyperlink>
    </w:p>
    <w:p w:rsidR="009112AA" w:rsidRDefault="00C173B3" w:rsidP="006509AC">
      <w:pPr>
        <w:rPr>
          <w:lang w:val="en-US"/>
        </w:rPr>
      </w:pPr>
      <w:r>
        <w:rPr>
          <w:lang w:val="en-US"/>
        </w:rPr>
        <w:lastRenderedPageBreak/>
        <w:t xml:space="preserve">8. The further differentiation of different types of knowledge by </w:t>
      </w:r>
      <w:proofErr w:type="spellStart"/>
      <w:r>
        <w:rPr>
          <w:lang w:val="en-US"/>
        </w:rPr>
        <w:t>Nonaka</w:t>
      </w:r>
      <w:proofErr w:type="spellEnd"/>
      <w:r>
        <w:rPr>
          <w:lang w:val="en-US"/>
        </w:rPr>
        <w:t xml:space="preserve"> and Takeuchi can still be valuable for your network. Is it? </w:t>
      </w:r>
    </w:p>
    <w:p w:rsidR="00C173B3" w:rsidRDefault="00C173B3" w:rsidP="006509AC">
      <w:pPr>
        <w:rPr>
          <w:lang w:val="en-US"/>
        </w:rPr>
      </w:pPr>
      <w:r>
        <w:rPr>
          <w:noProof/>
          <w:lang w:eastAsia="nl-NL"/>
        </w:rPr>
        <w:drawing>
          <wp:inline distT="0" distB="0" distL="0" distR="0">
            <wp:extent cx="4276725" cy="2886075"/>
            <wp:effectExtent l="19050" t="0" r="9525" b="0"/>
            <wp:docPr id="4" name="Picture 4" descr="http://www.12manage.com/images/picture_nonaka_categories_knowledge_asset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12manage.com/images/picture_nonaka_categories_knowledge_assets.gif"/>
                    <pic:cNvPicPr>
                      <a:picLocks noChangeAspect="1" noChangeArrowheads="1"/>
                    </pic:cNvPicPr>
                  </pic:nvPicPr>
                  <pic:blipFill>
                    <a:blip r:embed="rId9" cstate="print"/>
                    <a:srcRect/>
                    <a:stretch>
                      <a:fillRect/>
                    </a:stretch>
                  </pic:blipFill>
                  <pic:spPr bwMode="auto">
                    <a:xfrm>
                      <a:off x="0" y="0"/>
                      <a:ext cx="4276725" cy="2886075"/>
                    </a:xfrm>
                    <a:prstGeom prst="rect">
                      <a:avLst/>
                    </a:prstGeom>
                    <a:noFill/>
                    <a:ln w="9525">
                      <a:noFill/>
                      <a:miter lim="800000"/>
                      <a:headEnd/>
                      <a:tailEnd/>
                    </a:ln>
                  </pic:spPr>
                </pic:pic>
              </a:graphicData>
            </a:graphic>
          </wp:inline>
        </w:drawing>
      </w:r>
    </w:p>
    <w:p w:rsidR="00C173B3" w:rsidRDefault="00C173B3" w:rsidP="006509AC">
      <w:pPr>
        <w:rPr>
          <w:lang w:val="en-US"/>
        </w:rPr>
      </w:pPr>
    </w:p>
    <w:p w:rsidR="00C173B3" w:rsidRDefault="00C173B3" w:rsidP="006509AC">
      <w:pPr>
        <w:rPr>
          <w:lang w:val="en-US"/>
        </w:rPr>
      </w:pPr>
      <w:r>
        <w:rPr>
          <w:lang w:val="en-US"/>
        </w:rPr>
        <w:t xml:space="preserve">9.  In how far does your network still cling to a “second generation” concept of knowledge management?  Did you try to move it to the third generation?  What did you do to bring about this change? </w:t>
      </w:r>
    </w:p>
    <w:p w:rsidR="008115E5" w:rsidRDefault="008115E5" w:rsidP="006509AC">
      <w:pPr>
        <w:rPr>
          <w:lang w:val="en-US"/>
        </w:rPr>
      </w:pPr>
      <w:r>
        <w:rPr>
          <w:lang w:val="en-US"/>
        </w:rPr>
        <w:t xml:space="preserve">10. How would you define “the upper and lower levels” of abstraction in the context of your network that “represent the range of shared context and therefore the range of possible knowledge flow” (Snowden, p. 102)? </w:t>
      </w:r>
    </w:p>
    <w:p w:rsidR="000A5131" w:rsidRDefault="000A5131" w:rsidP="006509AC">
      <w:pPr>
        <w:rPr>
          <w:lang w:val="en-US"/>
        </w:rPr>
      </w:pPr>
      <w:r>
        <w:rPr>
          <w:lang w:val="en-US"/>
        </w:rPr>
        <w:t xml:space="preserve">11. In how far has your network developed a culture in the sense of “standards for deciding what is … for deciding what can be … for deciding how one feels about it … for deciding what to do about it, and … for deciding how to go about doing it”?  (Snowden, p. 102 – on the basis of </w:t>
      </w:r>
      <w:proofErr w:type="spellStart"/>
      <w:r>
        <w:rPr>
          <w:lang w:val="en-US"/>
        </w:rPr>
        <w:t>Goodenough</w:t>
      </w:r>
      <w:proofErr w:type="spellEnd"/>
      <w:r>
        <w:rPr>
          <w:lang w:val="en-US"/>
        </w:rPr>
        <w:t>, 1961)</w:t>
      </w:r>
    </w:p>
    <w:p w:rsidR="00E33668" w:rsidRDefault="00E33668" w:rsidP="006509AC">
      <w:pPr>
        <w:rPr>
          <w:lang w:val="en-US"/>
        </w:rPr>
      </w:pPr>
      <w:r>
        <w:rPr>
          <w:lang w:val="en-US"/>
        </w:rPr>
        <w:t>12. What are the mechanisms that assure “the cyclical disruption of perceived wisdom</w:t>
      </w:r>
      <w:proofErr w:type="gramStart"/>
      <w:r>
        <w:rPr>
          <w:lang w:val="en-US"/>
        </w:rPr>
        <w:t>”  in</w:t>
      </w:r>
      <w:proofErr w:type="gramEnd"/>
      <w:r>
        <w:rPr>
          <w:lang w:val="en-US"/>
        </w:rPr>
        <w:t xml:space="preserve"> your network environment?  (cf. Snowden, p. 107</w:t>
      </w:r>
      <w:r w:rsidR="00FF7F99">
        <w:rPr>
          <w:lang w:val="en-US"/>
        </w:rPr>
        <w:t xml:space="preserve"> + 110</w:t>
      </w:r>
      <w:r>
        <w:rPr>
          <w:lang w:val="en-US"/>
        </w:rPr>
        <w:t>)</w:t>
      </w:r>
    </w:p>
    <w:p w:rsidR="000A5131" w:rsidRDefault="000A5131" w:rsidP="006509AC">
      <w:pPr>
        <w:rPr>
          <w:lang w:val="en-US"/>
        </w:rPr>
      </w:pPr>
    </w:p>
    <w:p w:rsidR="00C173B3" w:rsidRDefault="00C173B3" w:rsidP="006509AC">
      <w:pPr>
        <w:rPr>
          <w:lang w:val="en-US"/>
        </w:rPr>
      </w:pPr>
      <w:r>
        <w:rPr>
          <w:lang w:val="en-US"/>
        </w:rPr>
        <w:t xml:space="preserve"> </w:t>
      </w:r>
    </w:p>
    <w:p w:rsidR="00F33FE0" w:rsidRDefault="00F33FE0" w:rsidP="006509AC">
      <w:pPr>
        <w:rPr>
          <w:b/>
          <w:lang w:val="en-US"/>
        </w:rPr>
      </w:pPr>
      <w:r>
        <w:rPr>
          <w:b/>
          <w:lang w:val="en-US"/>
        </w:rPr>
        <w:t>Reading for next week:</w:t>
      </w:r>
    </w:p>
    <w:p w:rsidR="00F33FE0" w:rsidRPr="00F33FE0" w:rsidRDefault="00F33FE0" w:rsidP="006509AC">
      <w:pPr>
        <w:rPr>
          <w:b/>
          <w:lang w:val="en-US"/>
        </w:rPr>
      </w:pPr>
      <w:r w:rsidRPr="00F33FE0">
        <w:rPr>
          <w:sz w:val="20"/>
          <w:szCs w:val="20"/>
          <w:lang w:val="en-US"/>
        </w:rPr>
        <w:t xml:space="preserve">pp 44-57. </w:t>
      </w:r>
      <w:proofErr w:type="gramStart"/>
      <w:r w:rsidRPr="00F33FE0">
        <w:rPr>
          <w:rFonts w:cs="Helvetica"/>
          <w:sz w:val="20"/>
          <w:szCs w:val="20"/>
          <w:lang w:val="en-US"/>
        </w:rPr>
        <w:t>Waddell, S. (2011).</w:t>
      </w:r>
      <w:proofErr w:type="gramEnd"/>
      <w:r w:rsidRPr="00F33FE0">
        <w:rPr>
          <w:rFonts w:cs="Helvetica"/>
          <w:sz w:val="20"/>
          <w:szCs w:val="20"/>
          <w:lang w:val="en-US"/>
        </w:rPr>
        <w:t xml:space="preserve"> </w:t>
      </w:r>
      <w:proofErr w:type="gramStart"/>
      <w:r w:rsidRPr="00F33FE0">
        <w:rPr>
          <w:rFonts w:cs="Helvetica"/>
          <w:sz w:val="20"/>
          <w:szCs w:val="20"/>
          <w:lang w:val="en-US"/>
        </w:rPr>
        <w:t>Chapter 4.</w:t>
      </w:r>
      <w:proofErr w:type="gramEnd"/>
      <w:r w:rsidRPr="00F33FE0">
        <w:rPr>
          <w:rFonts w:cs="Helvetica"/>
          <w:sz w:val="20"/>
          <w:szCs w:val="20"/>
          <w:lang w:val="en-US"/>
        </w:rPr>
        <w:t xml:space="preserve">  </w:t>
      </w:r>
      <w:proofErr w:type="gramStart"/>
      <w:r w:rsidRPr="00F33FE0">
        <w:rPr>
          <w:sz w:val="20"/>
          <w:szCs w:val="20"/>
          <w:lang w:val="en-US"/>
        </w:rPr>
        <w:t>Development Stages.</w:t>
      </w:r>
      <w:proofErr w:type="gramEnd"/>
      <w:r w:rsidRPr="00F33FE0">
        <w:rPr>
          <w:sz w:val="20"/>
          <w:szCs w:val="20"/>
          <w:lang w:val="en-US"/>
        </w:rPr>
        <w:t xml:space="preserve"> </w:t>
      </w:r>
      <w:r w:rsidRPr="00F33FE0">
        <w:rPr>
          <w:rFonts w:cs="Helvetica"/>
          <w:sz w:val="20"/>
          <w:szCs w:val="20"/>
          <w:u w:val="single"/>
          <w:lang w:val="en-US"/>
        </w:rPr>
        <w:t>Global Action Networks:  Creating our future together</w:t>
      </w:r>
      <w:r w:rsidRPr="00F33FE0">
        <w:rPr>
          <w:rFonts w:cs="Helvetica"/>
          <w:sz w:val="20"/>
          <w:szCs w:val="20"/>
          <w:lang w:val="en-US"/>
        </w:rPr>
        <w:t>.</w:t>
      </w:r>
    </w:p>
    <w:p w:rsidR="00F33FE0" w:rsidRPr="00F33FE0" w:rsidRDefault="00F33FE0" w:rsidP="006509AC">
      <w:pPr>
        <w:rPr>
          <w:b/>
          <w:lang w:val="en-US"/>
        </w:rPr>
      </w:pPr>
    </w:p>
    <w:p w:rsidR="00E33668" w:rsidRPr="006509AC" w:rsidRDefault="00E33668">
      <w:pPr>
        <w:rPr>
          <w:lang w:val="en-US"/>
        </w:rPr>
      </w:pPr>
    </w:p>
    <w:sectPr w:rsidR="00E33668" w:rsidRPr="006509AC" w:rsidSect="007A6803">
      <w:footerReference w:type="default" r:id="rId10"/>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046A" w:rsidRDefault="0061046A" w:rsidP="00C173B3">
      <w:pPr>
        <w:spacing w:after="0" w:line="240" w:lineRule="auto"/>
      </w:pPr>
      <w:r>
        <w:separator/>
      </w:r>
    </w:p>
  </w:endnote>
  <w:endnote w:type="continuationSeparator" w:id="0">
    <w:p w:rsidR="0061046A" w:rsidRDefault="0061046A" w:rsidP="00C173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69170"/>
      <w:docPartObj>
        <w:docPartGallery w:val="Page Numbers (Bottom of Page)"/>
        <w:docPartUnique/>
      </w:docPartObj>
    </w:sdtPr>
    <w:sdtContent>
      <w:p w:rsidR="00E33668" w:rsidRDefault="00ED6A98">
        <w:pPr>
          <w:pStyle w:val="Footer"/>
          <w:jc w:val="right"/>
        </w:pPr>
        <w:fldSimple w:instr=" PAGE   \* MERGEFORMAT ">
          <w:r w:rsidR="00184AA0">
            <w:rPr>
              <w:noProof/>
            </w:rPr>
            <w:t>1</w:t>
          </w:r>
        </w:fldSimple>
      </w:p>
    </w:sdtContent>
  </w:sdt>
  <w:p w:rsidR="00E33668" w:rsidRDefault="00E3366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046A" w:rsidRDefault="0061046A" w:rsidP="00C173B3">
      <w:pPr>
        <w:spacing w:after="0" w:line="240" w:lineRule="auto"/>
      </w:pPr>
      <w:r>
        <w:separator/>
      </w:r>
    </w:p>
  </w:footnote>
  <w:footnote w:type="continuationSeparator" w:id="0">
    <w:p w:rsidR="0061046A" w:rsidRDefault="0061046A" w:rsidP="00C173B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509AC"/>
    <w:rsid w:val="000A5131"/>
    <w:rsid w:val="00184AA0"/>
    <w:rsid w:val="00343B7A"/>
    <w:rsid w:val="005E7784"/>
    <w:rsid w:val="0061046A"/>
    <w:rsid w:val="00615725"/>
    <w:rsid w:val="006509AC"/>
    <w:rsid w:val="007A6803"/>
    <w:rsid w:val="008115E5"/>
    <w:rsid w:val="00873F30"/>
    <w:rsid w:val="009112AA"/>
    <w:rsid w:val="00AF18A3"/>
    <w:rsid w:val="00B8110F"/>
    <w:rsid w:val="00C173B3"/>
    <w:rsid w:val="00C81C6D"/>
    <w:rsid w:val="00D33C92"/>
    <w:rsid w:val="00D534CC"/>
    <w:rsid w:val="00E33668"/>
    <w:rsid w:val="00ED6A98"/>
    <w:rsid w:val="00F33FE0"/>
    <w:rsid w:val="00FA4AB9"/>
    <w:rsid w:val="00FF7F99"/>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09A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509AC"/>
    <w:rPr>
      <w:color w:val="0000FF"/>
      <w:u w:val="single"/>
    </w:rPr>
  </w:style>
  <w:style w:type="paragraph" w:styleId="BalloonText">
    <w:name w:val="Balloon Text"/>
    <w:basedOn w:val="Normal"/>
    <w:link w:val="BalloonTextChar"/>
    <w:uiPriority w:val="99"/>
    <w:semiHidden/>
    <w:unhideWhenUsed/>
    <w:rsid w:val="009112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12AA"/>
    <w:rPr>
      <w:rFonts w:ascii="Tahoma" w:hAnsi="Tahoma" w:cs="Tahoma"/>
      <w:sz w:val="16"/>
      <w:szCs w:val="16"/>
    </w:rPr>
  </w:style>
  <w:style w:type="paragraph" w:styleId="Header">
    <w:name w:val="header"/>
    <w:basedOn w:val="Normal"/>
    <w:link w:val="HeaderChar"/>
    <w:uiPriority w:val="99"/>
    <w:semiHidden/>
    <w:unhideWhenUsed/>
    <w:rsid w:val="00C173B3"/>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C173B3"/>
  </w:style>
  <w:style w:type="paragraph" w:styleId="Footer">
    <w:name w:val="footer"/>
    <w:basedOn w:val="Normal"/>
    <w:link w:val="FooterChar"/>
    <w:uiPriority w:val="99"/>
    <w:unhideWhenUsed/>
    <w:rsid w:val="00C173B3"/>
    <w:pPr>
      <w:tabs>
        <w:tab w:val="center" w:pos="4536"/>
        <w:tab w:val="right" w:pos="9072"/>
      </w:tabs>
      <w:spacing w:after="0" w:line="240" w:lineRule="auto"/>
    </w:pPr>
  </w:style>
  <w:style w:type="character" w:customStyle="1" w:styleId="FooterChar">
    <w:name w:val="Footer Char"/>
    <w:basedOn w:val="DefaultParagraphFont"/>
    <w:link w:val="Footer"/>
    <w:uiPriority w:val="99"/>
    <w:rsid w:val="00C173B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12manage.com/methods_nonaka_seci.html" TargetMode="External"/><Relationship Id="rId3" Type="http://schemas.openxmlformats.org/officeDocument/2006/relationships/webSettings" Target="webSettings.xml"/><Relationship Id="rId7" Type="http://schemas.openxmlformats.org/officeDocument/2006/relationships/image" Target="media/image1.gi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networkingaction.net/2010/12/seven-complexity-implications-for-multi-stakeholder-networks/"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2</Pages>
  <Words>420</Words>
  <Characters>2313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Gerd</dc:creator>
  <cp:lastModifiedBy>gjunne</cp:lastModifiedBy>
  <cp:revision>5</cp:revision>
  <cp:lastPrinted>2012-10-22T11:31:00Z</cp:lastPrinted>
  <dcterms:created xsi:type="dcterms:W3CDTF">2012-10-16T11:14:00Z</dcterms:created>
  <dcterms:modified xsi:type="dcterms:W3CDTF">2012-10-22T15:27:00Z</dcterms:modified>
</cp:coreProperties>
</file>