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326" w:rsidRDefault="005D0326" w:rsidP="005D0326">
      <w:pPr>
        <w:rPr>
          <w:b/>
          <w:lang w:val="en-US"/>
        </w:rPr>
      </w:pPr>
      <w:r w:rsidRPr="00857788">
        <w:rPr>
          <w:b/>
          <w:lang w:val="en-US"/>
        </w:rPr>
        <w:t xml:space="preserve">Creating Effective Networks   - Week </w:t>
      </w:r>
      <w:r>
        <w:rPr>
          <w:b/>
          <w:lang w:val="en-US"/>
        </w:rPr>
        <w:t>7 - (26 Nov. – 2 Dec. 2012) -   EIGHT COMPETENCIES</w:t>
      </w:r>
    </w:p>
    <w:p w:rsidR="005D0326" w:rsidRPr="005D0326" w:rsidRDefault="005D0326" w:rsidP="005D0326">
      <w:pPr>
        <w:rPr>
          <w:lang w:val="en-US"/>
        </w:rPr>
      </w:pPr>
    </w:p>
    <w:p w:rsidR="005D0326" w:rsidRPr="005D0326" w:rsidRDefault="005D0326" w:rsidP="005D0326">
      <w:pPr>
        <w:rPr>
          <w:lang w:val="en-US"/>
        </w:rPr>
      </w:pPr>
      <w:r>
        <w:rPr>
          <w:noProof/>
          <w:lang w:eastAsia="nl-NL"/>
        </w:rPr>
        <w:drawing>
          <wp:anchor distT="0" distB="0" distL="114300" distR="114300" simplePos="0" relativeHeight="251660288" behindDoc="0" locked="0" layoutInCell="1" allowOverlap="1">
            <wp:simplePos x="0" y="0"/>
            <wp:positionH relativeFrom="column">
              <wp:posOffset>3281680</wp:posOffset>
            </wp:positionH>
            <wp:positionV relativeFrom="paragraph">
              <wp:posOffset>66040</wp:posOffset>
            </wp:positionV>
            <wp:extent cx="2533650" cy="2400300"/>
            <wp:effectExtent l="19050" t="0" r="0" b="0"/>
            <wp:wrapNone/>
            <wp:docPr id="3"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35675" cy="5899150"/>
                      <a:chOff x="2011363" y="1219200"/>
                      <a:chExt cx="6035675" cy="5899150"/>
                    </a:xfrm>
                  </a:grpSpPr>
                  <a:grpSp>
                    <a:nvGrpSpPr>
                      <a:cNvPr id="10243" name="Group 1"/>
                      <a:cNvGrpSpPr>
                        <a:grpSpLocks/>
                      </a:cNvGrpSpPr>
                    </a:nvGrpSpPr>
                    <a:grpSpPr bwMode="auto">
                      <a:xfrm>
                        <a:off x="2011363" y="1219200"/>
                        <a:ext cx="6035675" cy="5899150"/>
                        <a:chOff x="2011363" y="1219200"/>
                        <a:chExt cx="6035675" cy="5899150"/>
                      </a:xfrm>
                    </a:grpSpPr>
                    <a:sp>
                      <a:nvSpPr>
                        <a:cNvPr id="10245" name="Oval 4"/>
                        <a:cNvSpPr>
                          <a:spLocks noChangeArrowheads="1"/>
                        </a:cNvSpPr>
                      </a:nvSpPr>
                      <a:spPr bwMode="auto">
                        <a:xfrm>
                          <a:off x="4230688" y="5591175"/>
                          <a:ext cx="1597025" cy="1527175"/>
                        </a:xfrm>
                        <a:prstGeom prst="ellipse">
                          <a:avLst/>
                        </a:prstGeom>
                        <a:gradFill rotWithShape="1">
                          <a:gsLst>
                            <a:gs pos="0">
                              <a:srgbClr val="FFC9E4"/>
                            </a:gs>
                            <a:gs pos="100000">
                              <a:srgbClr val="FF99CC"/>
                            </a:gs>
                          </a:gsLst>
                          <a:path path="shape">
                            <a:fillToRect l="50000" t="50000" r="50000" b="50000"/>
                          </a:path>
                        </a:gradFill>
                        <a:ln w="9525">
                          <a:no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marL="455613" indent="-455613" algn="ctr" defTabSz="990600"/>
                            <a:endParaRPr lang="en-US" sz="1700" b="1">
                              <a:latin typeface="Arial Narrow" pitchFamily="34" charset="0"/>
                            </a:endParaRPr>
                          </a:p>
                          <a:p>
                            <a:pPr marL="455613" indent="-455613" algn="ctr" defTabSz="990600"/>
                            <a:r>
                              <a:rPr lang="en-US" sz="1700" b="1">
                                <a:latin typeface="Arial Narrow" pitchFamily="34" charset="0"/>
                              </a:rPr>
                              <a:t>5. </a:t>
                            </a:r>
                          </a:p>
                          <a:p>
                            <a:pPr marL="455613" indent="-455613" algn="ctr" defTabSz="990600"/>
                            <a:r>
                              <a:rPr lang="en-US" sz="1700" b="1">
                                <a:latin typeface="Arial Narrow" pitchFamily="34" charset="0"/>
                              </a:rPr>
                              <a:t>Communi-</a:t>
                            </a:r>
                          </a:p>
                          <a:p>
                            <a:pPr marL="455613" indent="-455613" algn="ctr" defTabSz="990600"/>
                            <a:r>
                              <a:rPr lang="en-US" sz="1700" b="1">
                                <a:latin typeface="Arial Narrow" pitchFamily="34" charset="0"/>
                              </a:rPr>
                              <a:t>cations</a:t>
                            </a:r>
                          </a:p>
                        </a:txBody>
                        <a:useSpRect/>
                      </a:txSp>
                    </a:sp>
                    <a:sp>
                      <a:nvSpPr>
                        <a:cNvPr id="26629" name="Oval 5"/>
                        <a:cNvSpPr>
                          <a:spLocks noChangeArrowheads="1"/>
                        </a:cNvSpPr>
                      </a:nvSpPr>
                      <a:spPr bwMode="auto">
                        <a:xfrm>
                          <a:off x="5862638" y="4959350"/>
                          <a:ext cx="1597025" cy="1527175"/>
                        </a:xfrm>
                        <a:prstGeom prst="ellipse">
                          <a:avLst/>
                        </a:prstGeom>
                        <a:gradFill rotWithShape="1">
                          <a:gsLst>
                            <a:gs pos="0">
                              <a:srgbClr val="FFEBD8"/>
                            </a:gs>
                            <a:gs pos="100000">
                              <a:srgbClr val="FFCC99"/>
                            </a:gs>
                          </a:gsLst>
                          <a:path path="shape">
                            <a:fillToRect l="50000" t="50000" r="50000" b="50000"/>
                          </a:path>
                        </a:gradFill>
                        <a:ln>
                          <a:noFill/>
                        </a:ln>
                        <a:extLst>
                          <a:ext uri="{91240B29-F687-4f45-9708-019B960494DF}"/>
                        </a:extLst>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marL="457168" indent="-457168" algn="ctr" defTabSz="992118">
                              <a:defRPr/>
                            </a:pPr>
                            <a:r>
                              <a:rPr lang="en-US" sz="1700" b="1" dirty="0">
                                <a:latin typeface="Arial Narrow" charset="0"/>
                                <a:ea typeface="ＭＳ Ｐゴシック" charset="0"/>
                                <a:cs typeface="ＭＳ Ｐゴシック" charset="0"/>
                              </a:rPr>
                              <a:t>4.</a:t>
                            </a:r>
                          </a:p>
                          <a:p>
                            <a:pPr marL="457168" indent="-457168" algn="ctr" defTabSz="992118">
                              <a:defRPr/>
                            </a:pPr>
                            <a:r>
                              <a:rPr lang="en-US" sz="1700" b="1" dirty="0">
                                <a:latin typeface="Arial Narrow" charset="0"/>
                                <a:ea typeface="ＭＳ Ｐゴシック" charset="0"/>
                                <a:cs typeface="ＭＳ Ｐゴシック" charset="0"/>
                              </a:rPr>
                              <a:t>Change</a:t>
                            </a:r>
                          </a:p>
                          <a:p>
                            <a:pPr marL="457168" indent="-457168" algn="ctr" defTabSz="992118">
                              <a:defRPr/>
                            </a:pPr>
                            <a:r>
                              <a:rPr lang="en-US" sz="1700" b="1" dirty="0">
                                <a:latin typeface="Arial Narrow" charset="0"/>
                                <a:ea typeface="ＭＳ Ｐゴシック" charset="0"/>
                                <a:cs typeface="ＭＳ Ｐゴシック" charset="0"/>
                              </a:rPr>
                              <a:t>and</a:t>
                            </a:r>
                          </a:p>
                          <a:p>
                            <a:pPr marL="457168" indent="-457168" algn="ctr" defTabSz="992118">
                              <a:defRPr/>
                            </a:pPr>
                            <a:r>
                              <a:rPr lang="en-US" sz="1700" b="1" dirty="0">
                                <a:latin typeface="Arial Narrow" charset="0"/>
                                <a:ea typeface="ＭＳ Ｐゴシック" charset="0"/>
                                <a:cs typeface="ＭＳ Ｐゴシック" charset="0"/>
                              </a:rPr>
                              <a:t>Conflict</a:t>
                            </a:r>
                          </a:p>
                          <a:p>
                            <a:pPr algn="ctr" defTabSz="992118">
                              <a:defRPr/>
                            </a:pPr>
                            <a:endParaRPr lang="en-US" sz="900" b="1" dirty="0">
                              <a:latin typeface="Arial Narrow" charset="0"/>
                              <a:ea typeface="ＭＳ Ｐゴシック" charset="0"/>
                              <a:cs typeface="ＭＳ Ｐゴシック" charset="0"/>
                            </a:endParaRPr>
                          </a:p>
                        </a:txBody>
                        <a:useSpRect/>
                      </a:txSp>
                    </a:sp>
                    <a:sp>
                      <a:nvSpPr>
                        <a:cNvPr id="10247" name="Oval 6"/>
                        <a:cNvSpPr>
                          <a:spLocks noChangeArrowheads="1"/>
                        </a:cNvSpPr>
                      </a:nvSpPr>
                      <a:spPr bwMode="auto">
                        <a:xfrm>
                          <a:off x="6448425" y="3373438"/>
                          <a:ext cx="1598613" cy="1527175"/>
                        </a:xfrm>
                        <a:prstGeom prst="ellipse">
                          <a:avLst/>
                        </a:prstGeom>
                        <a:gradFill rotWithShape="1">
                          <a:gsLst>
                            <a:gs pos="0">
                              <a:srgbClr val="FFFFC9"/>
                            </a:gs>
                            <a:gs pos="100000">
                              <a:srgbClr val="FFFF99"/>
                            </a:gs>
                          </a:gsLst>
                          <a:path path="shape">
                            <a:fillToRect l="50000" t="50000" r="50000" b="50000"/>
                          </a:path>
                        </a:gradFill>
                        <a:ln w="9525">
                          <a:noFill/>
                          <a:round/>
                          <a:headEnd/>
                          <a:tailEnd/>
                        </a:ln>
                      </a:spPr>
                      <a:txSp>
                        <a:txBody>
                          <a:bodyPr lIns="99276" tIns="49638" rIns="99276" bIns="49638"/>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r>
                              <a:rPr lang="en-US" sz="1700" b="1">
                                <a:latin typeface="Arial Narrow" pitchFamily="34" charset="0"/>
                              </a:rPr>
                              <a:t>3.  </a:t>
                            </a:r>
                          </a:p>
                          <a:p>
                            <a:pPr algn="ctr" defTabSz="990600"/>
                            <a:r>
                              <a:rPr lang="en-US" sz="1700" b="1">
                                <a:latin typeface="Arial Narrow" pitchFamily="34" charset="0"/>
                              </a:rPr>
                              <a:t>Measuring Impact</a:t>
                            </a:r>
                            <a:endParaRPr lang="en-US" sz="900" b="1">
                              <a:latin typeface="Arial Narrow" pitchFamily="34" charset="0"/>
                            </a:endParaRPr>
                          </a:p>
                        </a:txBody>
                        <a:useSpRect/>
                      </a:txSp>
                    </a:sp>
                    <a:sp>
                      <a:nvSpPr>
                        <a:cNvPr id="10248" name="Oval 7"/>
                        <a:cNvSpPr>
                          <a:spLocks noChangeArrowheads="1"/>
                        </a:cNvSpPr>
                      </a:nvSpPr>
                      <a:spPr bwMode="auto">
                        <a:xfrm>
                          <a:off x="2633663" y="4959350"/>
                          <a:ext cx="1597025" cy="1527175"/>
                        </a:xfrm>
                        <a:prstGeom prst="ellipse">
                          <a:avLst/>
                        </a:prstGeom>
                        <a:gradFill rotWithShape="1">
                          <a:gsLst>
                            <a:gs pos="0">
                              <a:srgbClr val="E4FFE4"/>
                            </a:gs>
                            <a:gs pos="100000">
                              <a:srgbClr val="CCFFCC"/>
                            </a:gs>
                          </a:gsLst>
                          <a:path path="shape">
                            <a:fillToRect l="50000" t="50000" r="50000" b="50000"/>
                          </a:path>
                        </a:gradFill>
                        <a:ln w="9525">
                          <a:no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endParaRPr lang="en-US" sz="1700" b="1">
                              <a:latin typeface="Arial Narrow" pitchFamily="34" charset="0"/>
                            </a:endParaRPr>
                          </a:p>
                          <a:p>
                            <a:pPr algn="ctr" defTabSz="990600"/>
                            <a:r>
                              <a:rPr lang="en-US" sz="1700" b="1">
                                <a:latin typeface="Arial Narrow" pitchFamily="34" charset="0"/>
                              </a:rPr>
                              <a:t>6.</a:t>
                            </a:r>
                          </a:p>
                          <a:p>
                            <a:pPr algn="ctr" defTabSz="990600"/>
                            <a:r>
                              <a:rPr lang="en-US" sz="1700" b="1">
                                <a:latin typeface="Arial Narrow" pitchFamily="34" charset="0"/>
                              </a:rPr>
                              <a:t>Learning</a:t>
                            </a:r>
                          </a:p>
                          <a:p>
                            <a:pPr algn="ctr" defTabSz="990600"/>
                            <a:r>
                              <a:rPr lang="en-US" sz="1700" b="1">
                                <a:latin typeface="Arial Narrow" pitchFamily="34" charset="0"/>
                              </a:rPr>
                              <a:t>Systems</a:t>
                            </a:r>
                            <a:endParaRPr lang="en-US" sz="900" b="1">
                              <a:latin typeface="Arial Narrow" pitchFamily="34" charset="0"/>
                            </a:endParaRPr>
                          </a:p>
                        </a:txBody>
                        <a:useSpRect/>
                      </a:txSp>
                    </a:sp>
                    <a:sp>
                      <a:nvSpPr>
                        <a:cNvPr id="10249" name="Oval 8"/>
                        <a:cNvSpPr>
                          <a:spLocks noChangeArrowheads="1"/>
                        </a:cNvSpPr>
                      </a:nvSpPr>
                      <a:spPr bwMode="auto">
                        <a:xfrm>
                          <a:off x="2011363" y="3395663"/>
                          <a:ext cx="1598612" cy="1527175"/>
                        </a:xfrm>
                        <a:prstGeom prst="ellipse">
                          <a:avLst/>
                        </a:prstGeom>
                        <a:gradFill rotWithShape="1">
                          <a:gsLst>
                            <a:gs pos="0">
                              <a:srgbClr val="E4FFFF"/>
                            </a:gs>
                            <a:gs pos="100000">
                              <a:srgbClr val="CCFFFF"/>
                            </a:gs>
                          </a:gsLst>
                          <a:path path="shape">
                            <a:fillToRect l="50000" t="50000" r="50000" b="50000"/>
                          </a:path>
                        </a:gradFill>
                        <a:ln w="9525">
                          <a:noFill/>
                          <a:round/>
                          <a:headEnd/>
                          <a:tailEnd/>
                        </a:ln>
                      </a:spPr>
                      <a:txSp>
                        <a:txBody>
                          <a:bodyPr lIns="99276" tIns="49638" rIns="99276" bIns="49638"/>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endParaRPr lang="en-US" sz="900" b="1">
                              <a:latin typeface="Arial Narrow" pitchFamily="34" charset="0"/>
                            </a:endParaRPr>
                          </a:p>
                          <a:p>
                            <a:pPr algn="ctr" defTabSz="990600"/>
                            <a:r>
                              <a:rPr lang="en-US" sz="1700" b="1">
                                <a:latin typeface="Arial Narrow" pitchFamily="34" charset="0"/>
                              </a:rPr>
                              <a:t>7.  </a:t>
                            </a:r>
                          </a:p>
                          <a:p>
                            <a:pPr algn="ctr" defTabSz="990600"/>
                            <a:r>
                              <a:rPr lang="en-US" sz="1700" b="1">
                                <a:latin typeface="Arial Narrow" pitchFamily="34" charset="0"/>
                              </a:rPr>
                              <a:t>Policy and Advocacy</a:t>
                            </a:r>
                          </a:p>
                        </a:txBody>
                        <a:useSpRect/>
                      </a:txSp>
                    </a:sp>
                    <a:sp>
                      <a:nvSpPr>
                        <a:cNvPr id="10250" name="Oval 9"/>
                        <a:cNvSpPr>
                          <a:spLocks noChangeArrowheads="1"/>
                        </a:cNvSpPr>
                      </a:nvSpPr>
                      <a:spPr bwMode="auto">
                        <a:xfrm>
                          <a:off x="5872163" y="1782763"/>
                          <a:ext cx="1631950" cy="1543050"/>
                        </a:xfrm>
                        <a:prstGeom prst="ellipse">
                          <a:avLst/>
                        </a:prstGeom>
                        <a:gradFill rotWithShape="1">
                          <a:gsLst>
                            <a:gs pos="0">
                              <a:srgbClr val="C9E4FF"/>
                            </a:gs>
                            <a:gs pos="100000">
                              <a:srgbClr val="99CCFF"/>
                            </a:gs>
                          </a:gsLst>
                          <a:path path="shape">
                            <a:fillToRect l="50000" t="50000" r="50000" b="50000"/>
                          </a:path>
                        </a:gradFill>
                        <a:ln w="9525">
                          <a:no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r>
                              <a:rPr lang="en-US" sz="1700" b="1">
                                <a:latin typeface="Arial Narrow" pitchFamily="34" charset="0"/>
                              </a:rPr>
                              <a:t>2.  </a:t>
                            </a:r>
                          </a:p>
                          <a:p>
                            <a:pPr algn="ctr" defTabSz="990600"/>
                            <a:r>
                              <a:rPr lang="en-US" sz="1700" b="1">
                                <a:latin typeface="Arial Narrow" pitchFamily="34" charset="0"/>
                              </a:rPr>
                              <a:t>Network</a:t>
                            </a:r>
                          </a:p>
                          <a:p>
                            <a:pPr algn="ctr" defTabSz="990600"/>
                            <a:r>
                              <a:rPr lang="en-US" sz="1700" b="1">
                                <a:latin typeface="Arial Narrow" pitchFamily="34" charset="0"/>
                              </a:rPr>
                              <a:t>Development</a:t>
                            </a:r>
                            <a:endParaRPr lang="en-US" sz="900" b="1">
                              <a:latin typeface="Arial Narrow" pitchFamily="34" charset="0"/>
                            </a:endParaRPr>
                          </a:p>
                        </a:txBody>
                        <a:useSpRect/>
                      </a:txSp>
                    </a:sp>
                    <a:sp>
                      <a:nvSpPr>
                        <a:cNvPr id="10251" name="Oval 10"/>
                        <a:cNvSpPr>
                          <a:spLocks noChangeArrowheads="1"/>
                        </a:cNvSpPr>
                      </a:nvSpPr>
                      <a:spPr bwMode="auto">
                        <a:xfrm>
                          <a:off x="4241800" y="1219200"/>
                          <a:ext cx="1597025" cy="1527175"/>
                        </a:xfrm>
                        <a:prstGeom prst="ellipse">
                          <a:avLst/>
                        </a:prstGeom>
                        <a:gradFill rotWithShape="1">
                          <a:gsLst>
                            <a:gs pos="0">
                              <a:srgbClr val="E8D1FF"/>
                            </a:gs>
                            <a:gs pos="100000">
                              <a:srgbClr val="CC99FF">
                                <a:alpha val="95000"/>
                              </a:srgbClr>
                            </a:gs>
                          </a:gsLst>
                          <a:path path="shape">
                            <a:fillToRect l="50000" t="50000" r="50000" b="50000"/>
                          </a:path>
                        </a:gradFill>
                        <a:ln w="9525">
                          <a:no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endParaRPr lang="en-US" sz="1700" b="1">
                              <a:latin typeface="Arial Narrow" pitchFamily="34" charset="0"/>
                            </a:endParaRPr>
                          </a:p>
                          <a:p>
                            <a:pPr algn="ctr" defTabSz="990600"/>
                            <a:r>
                              <a:rPr lang="en-US" sz="1700" b="1">
                                <a:latin typeface="Arial Narrow" pitchFamily="34" charset="0"/>
                              </a:rPr>
                              <a:t>1.</a:t>
                            </a:r>
                          </a:p>
                          <a:p>
                            <a:pPr algn="ctr" defTabSz="990600"/>
                            <a:r>
                              <a:rPr lang="en-US" sz="1700" b="1">
                                <a:latin typeface="Arial Narrow" pitchFamily="34" charset="0"/>
                              </a:rPr>
                              <a:t>Leadership</a:t>
                            </a:r>
                            <a:endParaRPr lang="en-US" sz="900" b="1">
                              <a:latin typeface="Arial Narrow" pitchFamily="34" charset="0"/>
                            </a:endParaRPr>
                          </a:p>
                        </a:txBody>
                        <a:useSpRect/>
                      </a:txSp>
                    </a:sp>
                    <a:sp>
                      <a:nvSpPr>
                        <a:cNvPr id="10252" name="Oval 11"/>
                        <a:cNvSpPr>
                          <a:spLocks noChangeArrowheads="1"/>
                        </a:cNvSpPr>
                      </a:nvSpPr>
                      <a:spPr bwMode="auto">
                        <a:xfrm>
                          <a:off x="2633663" y="1882775"/>
                          <a:ext cx="1597025" cy="1527175"/>
                        </a:xfrm>
                        <a:prstGeom prst="ellipse">
                          <a:avLst/>
                        </a:prstGeom>
                        <a:gradFill rotWithShape="1">
                          <a:gsLst>
                            <a:gs pos="0">
                              <a:srgbClr val="C9FFAF"/>
                            </a:gs>
                            <a:gs pos="100000">
                              <a:srgbClr val="99FF66"/>
                            </a:gs>
                          </a:gsLst>
                          <a:path path="shape">
                            <a:fillToRect l="50000" t="50000" r="50000" b="50000"/>
                          </a:path>
                        </a:gradFill>
                        <a:ln w="9525">
                          <a:no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endParaRPr lang="en-US" sz="900" b="1">
                              <a:latin typeface="Arial Narrow" pitchFamily="34" charset="0"/>
                            </a:endParaRPr>
                          </a:p>
                          <a:p>
                            <a:pPr algn="ctr" defTabSz="990600"/>
                            <a:r>
                              <a:rPr lang="en-US" sz="1700" b="1">
                                <a:latin typeface="Arial Narrow" pitchFamily="34" charset="0"/>
                              </a:rPr>
                              <a:t>8.</a:t>
                            </a:r>
                          </a:p>
                          <a:p>
                            <a:pPr algn="ctr" defTabSz="990600"/>
                            <a:r>
                              <a:rPr lang="en-US" sz="1700" b="1">
                                <a:latin typeface="Arial Narrow" pitchFamily="34" charset="0"/>
                              </a:rPr>
                              <a:t>Resource Mobilization</a:t>
                            </a:r>
                          </a:p>
                        </a:txBody>
                        <a:useSpRect/>
                      </a:txSp>
                    </a:sp>
                    <a:sp>
                      <a:nvSpPr>
                        <a:cNvPr id="10253" name="Oval 12"/>
                        <a:cNvSpPr>
                          <a:spLocks noChangeArrowheads="1"/>
                        </a:cNvSpPr>
                      </a:nvSpPr>
                      <a:spPr bwMode="auto">
                        <a:xfrm>
                          <a:off x="3354388" y="2535238"/>
                          <a:ext cx="3384550" cy="3240087"/>
                        </a:xfrm>
                        <a:prstGeom prst="ellipse">
                          <a:avLst/>
                        </a:prstGeom>
                        <a:gradFill rotWithShape="1">
                          <a:gsLst>
                            <a:gs pos="0">
                              <a:srgbClr val="800080">
                                <a:alpha val="64998"/>
                              </a:srgbClr>
                            </a:gs>
                            <a:gs pos="100000">
                              <a:srgbClr val="99CCFF">
                                <a:alpha val="62999"/>
                              </a:srgbClr>
                            </a:gs>
                          </a:gsLst>
                          <a:path path="shape">
                            <a:fillToRect l="50000" t="50000" r="50000" b="50000"/>
                          </a:path>
                        </a:gradFill>
                        <a:ln w="25400">
                          <a:solidFill>
                            <a:srgbClr val="800080"/>
                          </a:solidFill>
                          <a:round/>
                          <a:headEnd/>
                          <a:tailEnd/>
                        </a:ln>
                      </a:spPr>
                      <a:txSp>
                        <a:txBody>
                          <a:bodyPr lIns="0" tIns="0" rIns="0" bIns="0"/>
                          <a:lstStyle>
                            <a:defPPr>
                              <a:defRPr lang="en-US"/>
                            </a:defPPr>
                            <a:lvl1pPr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1pPr>
                            <a:lvl2pPr marL="4556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2pPr>
                            <a:lvl3pPr marL="9128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3pPr>
                            <a:lvl4pPr marL="13700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4pPr>
                            <a:lvl5pPr marL="1827213" indent="1588" algn="l" rtl="0" eaLnBrk="0" fontAlgn="base" hangingPunct="0">
                              <a:spcBef>
                                <a:spcPct val="0"/>
                              </a:spcBef>
                              <a:spcAft>
                                <a:spcPct val="0"/>
                              </a:spcAft>
                              <a:defRPr sz="2400" kern="1200">
                                <a:solidFill>
                                  <a:schemeClr val="tx1"/>
                                </a:solidFill>
                                <a:latin typeface="Arial" charset="0"/>
                                <a:ea typeface="ＭＳ Ｐゴシック" pitchFamily="34" charset="-128"/>
                                <a:cs typeface="+mn-cs"/>
                              </a:defRPr>
                            </a:lvl5pPr>
                            <a:lvl6pPr marL="2286000" algn="l" defTabSz="914400" rtl="0" eaLnBrk="1" latinLnBrk="0" hangingPunct="1">
                              <a:defRPr sz="2400" kern="1200">
                                <a:solidFill>
                                  <a:schemeClr val="tx1"/>
                                </a:solidFill>
                                <a:latin typeface="Arial" charset="0"/>
                                <a:ea typeface="ＭＳ Ｐゴシック" pitchFamily="34" charset="-128"/>
                                <a:cs typeface="+mn-cs"/>
                              </a:defRPr>
                            </a:lvl6pPr>
                            <a:lvl7pPr marL="2743200" algn="l" defTabSz="914400" rtl="0" eaLnBrk="1" latinLnBrk="0" hangingPunct="1">
                              <a:defRPr sz="2400" kern="1200">
                                <a:solidFill>
                                  <a:schemeClr val="tx1"/>
                                </a:solidFill>
                                <a:latin typeface="Arial" charset="0"/>
                                <a:ea typeface="ＭＳ Ｐゴシック" pitchFamily="34" charset="-128"/>
                                <a:cs typeface="+mn-cs"/>
                              </a:defRPr>
                            </a:lvl7pPr>
                            <a:lvl8pPr marL="3200400" algn="l" defTabSz="914400" rtl="0" eaLnBrk="1" latinLnBrk="0" hangingPunct="1">
                              <a:defRPr sz="2400" kern="1200">
                                <a:solidFill>
                                  <a:schemeClr val="tx1"/>
                                </a:solidFill>
                                <a:latin typeface="Arial" charset="0"/>
                                <a:ea typeface="ＭＳ Ｐゴシック" pitchFamily="34" charset="-128"/>
                                <a:cs typeface="+mn-cs"/>
                              </a:defRPr>
                            </a:lvl8pPr>
                            <a:lvl9pPr marL="3657600" algn="l" defTabSz="914400" rtl="0" eaLnBrk="1" latinLnBrk="0" hangingPunct="1">
                              <a:defRPr sz="2400" kern="1200">
                                <a:solidFill>
                                  <a:schemeClr val="tx1"/>
                                </a:solidFill>
                                <a:latin typeface="Arial" charset="0"/>
                                <a:ea typeface="ＭＳ Ｐゴシック" pitchFamily="34" charset="-128"/>
                                <a:cs typeface="+mn-cs"/>
                              </a:defRPr>
                            </a:lvl9pPr>
                          </a:lstStyle>
                          <a:p>
                            <a:pPr algn="ctr" defTabSz="990600"/>
                            <a:endParaRPr lang="en-US" sz="2200" b="1">
                              <a:latin typeface="Arial Narrow" pitchFamily="34" charset="0"/>
                            </a:endParaRPr>
                          </a:p>
                          <a:p>
                            <a:pPr algn="ctr" defTabSz="990600"/>
                            <a:endParaRPr lang="en-US" sz="2200" b="1">
                              <a:latin typeface="Arial Narrow" pitchFamily="34" charset="0"/>
                            </a:endParaRPr>
                          </a:p>
                          <a:p>
                            <a:pPr algn="ctr" defTabSz="990600"/>
                            <a:r>
                              <a:rPr lang="en-US" sz="2200" b="1">
                                <a:latin typeface="Arial Narrow" pitchFamily="34" charset="0"/>
                              </a:rPr>
                              <a:t>Action</a:t>
                            </a:r>
                          </a:p>
                          <a:p>
                            <a:pPr algn="ctr" defTabSz="990600"/>
                            <a:r>
                              <a:rPr lang="en-US" sz="2000" b="1">
                                <a:latin typeface="Arial Narrow" pitchFamily="34" charset="0"/>
                              </a:rPr>
                              <a:t>Legitimacy</a:t>
                            </a:r>
                            <a:endParaRPr lang="en-US" sz="1300" b="1">
                              <a:latin typeface="Arial Narrow" pitchFamily="34" charset="0"/>
                            </a:endParaRPr>
                          </a:p>
                        </a:txBody>
                        <a:useSpRect/>
                      </a:txSp>
                    </a:sp>
                  </a:grpSp>
                </lc:lockedCanvas>
              </a:graphicData>
            </a:graphic>
          </wp:anchor>
        </w:drawing>
      </w:r>
    </w:p>
    <w:p w:rsidR="005D0326" w:rsidRPr="005D0326" w:rsidRDefault="005D0326" w:rsidP="005D0326">
      <w:pPr>
        <w:rPr>
          <w:lang w:val="en-US"/>
        </w:rPr>
      </w:pPr>
      <w:r>
        <w:rPr>
          <w:noProof/>
          <w:lang w:eastAsia="nl-NL"/>
        </w:rPr>
        <w:pict>
          <v:shapetype id="_x0000_t202" coordsize="21600,21600" o:spt="202" path="m,l,21600r21600,l21600,xe">
            <v:stroke joinstyle="miter"/>
            <v:path gradientshapeok="t" o:connecttype="rect"/>
          </v:shapetype>
          <v:shape id="_x0000_s1026" type="#_x0000_t202" style="position:absolute;margin-left:-4.1pt;margin-top:11.65pt;width:259.5pt;height:159pt;z-index:251661312" stroked="f">
            <v:textbox style="mso-next-textbox:#_x0000_s1026">
              <w:txbxContent>
                <w:p w:rsidR="005D0326" w:rsidRDefault="005D0326" w:rsidP="005D0326">
                  <w:pPr>
                    <w:rPr>
                      <w:lang w:val="en-US"/>
                    </w:rPr>
                  </w:pPr>
                  <w:r w:rsidRPr="001D7D19">
                    <w:rPr>
                      <w:lang w:val="en-US"/>
                    </w:rPr>
                    <w:t xml:space="preserve">1. Make a “score card” for your own network. </w:t>
                  </w:r>
                  <w:r>
                    <w:rPr>
                      <w:lang w:val="en-US"/>
                    </w:rPr>
                    <w:t>How would you rank it (on a scale from 1-10) for each of the eight competences?  What would be needed for each of the competencies to justify a higher rank than the one you have given (unless your organization score</w:t>
                  </w:r>
                  <w:r w:rsidR="001C35BA">
                    <w:rPr>
                      <w:lang w:val="en-US"/>
                    </w:rPr>
                    <w:t>s</w:t>
                  </w:r>
                  <w:r>
                    <w:rPr>
                      <w:lang w:val="en-US"/>
                    </w:rPr>
                    <w:t xml:space="preserve"> already a “10” for every competency)? </w:t>
                  </w:r>
                </w:p>
                <w:p w:rsidR="005D0326" w:rsidRPr="001D7D19" w:rsidRDefault="005D0326" w:rsidP="005D0326">
                  <w:pPr>
                    <w:rPr>
                      <w:lang w:val="en-US"/>
                    </w:rPr>
                  </w:pPr>
                  <w:r>
                    <w:rPr>
                      <w:lang w:val="en-US"/>
                    </w:rPr>
                    <w:t>2. What does it mean for each of the competencies that a network as such possesses these competencies (and not “just individuals” within a network</w:t>
                  </w:r>
                  <w:r w:rsidR="001C35BA">
                    <w:rPr>
                      <w:lang w:val="en-US"/>
                    </w:rPr>
                    <w:t>)</w:t>
                  </w:r>
                  <w:r>
                    <w:rPr>
                      <w:lang w:val="en-US"/>
                    </w:rPr>
                    <w:t xml:space="preserve">? </w:t>
                  </w:r>
                </w:p>
              </w:txbxContent>
            </v:textbox>
          </v:shape>
        </w:pict>
      </w:r>
    </w:p>
    <w:p w:rsidR="005D0326" w:rsidRPr="005D0326" w:rsidRDefault="005D0326" w:rsidP="005D0326">
      <w:pPr>
        <w:rPr>
          <w:lang w:val="en-US"/>
        </w:rPr>
      </w:pPr>
    </w:p>
    <w:p w:rsidR="005D0326" w:rsidRPr="005D0326" w:rsidRDefault="005D0326" w:rsidP="005D0326">
      <w:pPr>
        <w:rPr>
          <w:lang w:val="en-US"/>
        </w:rPr>
      </w:pPr>
    </w:p>
    <w:p w:rsidR="005D0326" w:rsidRPr="005D0326" w:rsidRDefault="005D0326" w:rsidP="005D0326">
      <w:pPr>
        <w:rPr>
          <w:lang w:val="en-US"/>
        </w:rPr>
      </w:pPr>
    </w:p>
    <w:p w:rsidR="005D0326" w:rsidRPr="005D0326" w:rsidRDefault="005D0326" w:rsidP="005D0326">
      <w:pPr>
        <w:rPr>
          <w:lang w:val="en-US"/>
        </w:rPr>
      </w:pPr>
    </w:p>
    <w:p w:rsidR="005D0326" w:rsidRPr="005D0326" w:rsidRDefault="005D0326" w:rsidP="005D0326">
      <w:pPr>
        <w:rPr>
          <w:lang w:val="en-US"/>
        </w:rPr>
      </w:pPr>
    </w:p>
    <w:p w:rsidR="005D0326" w:rsidRPr="005D0326" w:rsidRDefault="005D0326" w:rsidP="005D0326">
      <w:pPr>
        <w:rPr>
          <w:lang w:val="en-US"/>
        </w:rPr>
      </w:pPr>
    </w:p>
    <w:p w:rsidR="005D0326" w:rsidRDefault="005D0326" w:rsidP="005D0326">
      <w:pPr>
        <w:rPr>
          <w:lang w:val="en-US"/>
        </w:rPr>
      </w:pPr>
      <w:r w:rsidRPr="000D0C0C">
        <w:rPr>
          <w:lang w:val="en-US"/>
        </w:rPr>
        <w:t>3.  The networks we</w:t>
      </w:r>
      <w:r>
        <w:rPr>
          <w:lang w:val="en-US"/>
        </w:rPr>
        <w:t xml:space="preserve"> </w:t>
      </w:r>
      <w:r w:rsidRPr="000D0C0C">
        <w:rPr>
          <w:lang w:val="en-US"/>
        </w:rPr>
        <w:t>have discussed until</w:t>
      </w:r>
      <w:r>
        <w:rPr>
          <w:lang w:val="en-US"/>
        </w:rPr>
        <w:t xml:space="preserve"> </w:t>
      </w:r>
      <w:r w:rsidRPr="000D0C0C">
        <w:rPr>
          <w:lang w:val="en-US"/>
        </w:rPr>
        <w:t>now certainly ha</w:t>
      </w:r>
      <w:r>
        <w:rPr>
          <w:lang w:val="en-US"/>
        </w:rPr>
        <w:t>v</w:t>
      </w:r>
      <w:r w:rsidRPr="000D0C0C">
        <w:rPr>
          <w:lang w:val="en-US"/>
        </w:rPr>
        <w:t xml:space="preserve">e </w:t>
      </w:r>
      <w:r>
        <w:rPr>
          <w:i/>
          <w:lang w:val="en-US"/>
        </w:rPr>
        <w:t xml:space="preserve">issue </w:t>
      </w:r>
      <w:r>
        <w:rPr>
          <w:lang w:val="en-US"/>
        </w:rPr>
        <w:t xml:space="preserve">expertise; they also have developed considerable </w:t>
      </w:r>
      <w:r>
        <w:rPr>
          <w:i/>
          <w:lang w:val="en-US"/>
        </w:rPr>
        <w:t xml:space="preserve">tool </w:t>
      </w:r>
      <w:r>
        <w:rPr>
          <w:lang w:val="en-US"/>
        </w:rPr>
        <w:t>expertise (</w:t>
      </w:r>
      <w:proofErr w:type="spellStart"/>
      <w:r>
        <w:rPr>
          <w:lang w:val="en-US"/>
        </w:rPr>
        <w:t>cf.Waddell</w:t>
      </w:r>
      <w:proofErr w:type="spellEnd"/>
      <w:r>
        <w:rPr>
          <w:lang w:val="en-US"/>
        </w:rPr>
        <w:t xml:space="preserve">, p. 142-143). But do they have enough </w:t>
      </w:r>
      <w:r>
        <w:rPr>
          <w:i/>
          <w:lang w:val="en-US"/>
        </w:rPr>
        <w:t xml:space="preserve">change process </w:t>
      </w:r>
      <w:r>
        <w:rPr>
          <w:lang w:val="en-US"/>
        </w:rPr>
        <w:t xml:space="preserve">expertise?  What are the particular theories of change that underlie the </w:t>
      </w:r>
      <w:proofErr w:type="spellStart"/>
      <w:r>
        <w:rPr>
          <w:lang w:val="en-US"/>
        </w:rPr>
        <w:t>programmes</w:t>
      </w:r>
      <w:proofErr w:type="spellEnd"/>
      <w:r>
        <w:rPr>
          <w:lang w:val="en-US"/>
        </w:rPr>
        <w:t xml:space="preserve"> of your network (or that are discussed within the network)?   On the second page of this handout, you find some examples of theories of change (formulated in</w:t>
      </w:r>
      <w:r w:rsidR="001C35BA">
        <w:rPr>
          <w:lang w:val="en-US"/>
        </w:rPr>
        <w:t xml:space="preserve"> the</w:t>
      </w:r>
      <w:r>
        <w:rPr>
          <w:lang w:val="en-US"/>
        </w:rPr>
        <w:t xml:space="preserve"> field of conflict studies, but most of them can also be translated to other fields).</w:t>
      </w:r>
    </w:p>
    <w:p w:rsidR="005D0326" w:rsidRDefault="005D0326" w:rsidP="005D0326">
      <w:pPr>
        <w:rPr>
          <w:lang w:val="en-US"/>
        </w:rPr>
      </w:pPr>
      <w:r>
        <w:rPr>
          <w:lang w:val="en-US"/>
        </w:rPr>
        <w:t xml:space="preserve">4.  What is the triple-loop change </w:t>
      </w:r>
      <w:proofErr w:type="gramStart"/>
      <w:r>
        <w:rPr>
          <w:lang w:val="en-US"/>
        </w:rPr>
        <w:t>( i.e</w:t>
      </w:r>
      <w:proofErr w:type="gramEnd"/>
      <w:r>
        <w:rPr>
          <w:lang w:val="en-US"/>
        </w:rPr>
        <w:t xml:space="preserve">. transformational change including a change of power relations - see today’s </w:t>
      </w:r>
      <w:proofErr w:type="spellStart"/>
      <w:r>
        <w:rPr>
          <w:lang w:val="en-US"/>
        </w:rPr>
        <w:t>powerpoint</w:t>
      </w:r>
      <w:proofErr w:type="spellEnd"/>
      <w:r>
        <w:rPr>
          <w:lang w:val="en-US"/>
        </w:rPr>
        <w:t xml:space="preserve"> slides) that your network is aiming at?</w:t>
      </w:r>
    </w:p>
    <w:p w:rsidR="005D0326" w:rsidRDefault="005D0326" w:rsidP="005D0326">
      <w:pPr>
        <w:rPr>
          <w:lang w:val="en-US"/>
        </w:rPr>
      </w:pPr>
      <w:r>
        <w:rPr>
          <w:lang w:val="en-US"/>
        </w:rPr>
        <w:t xml:space="preserve">5.  Which part of your network takes special care to groom each of the eight necessary competencies, - is there any competence that is not explicitly taken care of? </w:t>
      </w:r>
    </w:p>
    <w:p w:rsidR="005D0326" w:rsidRDefault="005D0326" w:rsidP="005D0326">
      <w:pPr>
        <w:rPr>
          <w:lang w:val="en-US"/>
        </w:rPr>
      </w:pPr>
      <w:r>
        <w:rPr>
          <w:lang w:val="en-US"/>
        </w:rPr>
        <w:t xml:space="preserve">6.  Is there a specific sequence in which these competencies have been (or should be) developed? </w:t>
      </w:r>
    </w:p>
    <w:p w:rsidR="005D0326" w:rsidRDefault="005D0326" w:rsidP="005D0326">
      <w:pPr>
        <w:rPr>
          <w:lang w:val="en-US"/>
        </w:rPr>
      </w:pPr>
      <w:r>
        <w:rPr>
          <w:lang w:val="en-US"/>
        </w:rPr>
        <w:t xml:space="preserve">7. How do the different competencies interact, - how do they support each other?  Is there any </w:t>
      </w:r>
      <w:proofErr w:type="gramStart"/>
      <w:r>
        <w:rPr>
          <w:lang w:val="en-US"/>
        </w:rPr>
        <w:t>measuring/monitoring</w:t>
      </w:r>
      <w:proofErr w:type="gramEnd"/>
      <w:r>
        <w:rPr>
          <w:lang w:val="en-US"/>
        </w:rPr>
        <w:t xml:space="preserve"> of the development of the competencies? </w:t>
      </w:r>
    </w:p>
    <w:p w:rsidR="005D0326" w:rsidRDefault="005D0326" w:rsidP="005D0326">
      <w:pPr>
        <w:rPr>
          <w:lang w:val="en-US"/>
        </w:rPr>
      </w:pPr>
      <w:r>
        <w:rPr>
          <w:lang w:val="en-US"/>
        </w:rPr>
        <w:t>8. Does the network possess the necessary knowledge, skills and attributes (behavioral qualities) for each of the competencies?</w:t>
      </w:r>
    </w:p>
    <w:p w:rsidR="005D0326" w:rsidRDefault="005D0326" w:rsidP="005D0326">
      <w:pPr>
        <w:rPr>
          <w:lang w:val="en-US"/>
        </w:rPr>
      </w:pPr>
      <w:r>
        <w:rPr>
          <w:lang w:val="en-US"/>
        </w:rPr>
        <w:t xml:space="preserve">9.  “Leadership in a network setting […] is very distinct from that in a hierarchical organization.”(Waddell, 145)  How does this look like for the other seven competencies? Where would you see the differences between such competencies in a network and in an organization? </w:t>
      </w:r>
    </w:p>
    <w:p w:rsidR="005D0326" w:rsidRDefault="005D0326" w:rsidP="005D0326">
      <w:pPr>
        <w:rPr>
          <w:lang w:val="en-US"/>
        </w:rPr>
      </w:pPr>
    </w:p>
    <w:p w:rsidR="005D0326" w:rsidRDefault="005D0326" w:rsidP="005D0326">
      <w:pPr>
        <w:rPr>
          <w:lang w:val="en-US"/>
        </w:rPr>
      </w:pPr>
    </w:p>
    <w:p w:rsidR="005D0326" w:rsidRDefault="005D0326" w:rsidP="005D0326">
      <w:pPr>
        <w:jc w:val="right"/>
        <w:rPr>
          <w:lang w:val="en-US"/>
        </w:rPr>
      </w:pPr>
      <w:r>
        <w:rPr>
          <w:lang w:val="en-US"/>
        </w:rPr>
        <w:t>&gt;&gt;&gt;&gt;&gt;&gt;</w:t>
      </w:r>
    </w:p>
    <w:p w:rsidR="005D0326" w:rsidRDefault="005D0326">
      <w:pPr>
        <w:rPr>
          <w:lang w:val="en-US"/>
        </w:rPr>
      </w:pPr>
      <w:r>
        <w:rPr>
          <w:lang w:val="en-US"/>
        </w:rPr>
        <w:br w:type="page"/>
      </w:r>
    </w:p>
    <w:p w:rsidR="005D0326" w:rsidRDefault="005D0326" w:rsidP="005D0326">
      <w:pPr>
        <w:autoSpaceDE w:val="0"/>
        <w:autoSpaceDN w:val="0"/>
        <w:adjustRightInd w:val="0"/>
        <w:ind w:left="360"/>
        <w:jc w:val="both"/>
        <w:rPr>
          <w:rFonts w:ascii="Garamond" w:eastAsia="Calibri" w:hAnsi="Garamond" w:cs="Garamond-Bold"/>
          <w:sz w:val="20"/>
          <w:szCs w:val="20"/>
          <w:lang w:val="en-GB"/>
        </w:rPr>
      </w:pPr>
      <w:r>
        <w:rPr>
          <w:rFonts w:ascii="Garamond" w:eastAsia="Calibri" w:hAnsi="Garamond" w:cs="Garamond-Bold"/>
          <w:lang w:val="en-GB"/>
        </w:rPr>
        <w:lastRenderedPageBreak/>
        <w:t xml:space="preserve">10 CHANGE THEORIES  </w:t>
      </w:r>
      <w:r>
        <w:rPr>
          <w:rFonts w:ascii="Garamond" w:eastAsia="Calibri" w:hAnsi="Garamond" w:cs="Garamond-Bold"/>
          <w:sz w:val="20"/>
          <w:szCs w:val="20"/>
          <w:lang w:val="en-GB"/>
        </w:rPr>
        <w:t xml:space="preserve">   (from summary “Designing for Results” by Thijs </w:t>
      </w:r>
      <w:proofErr w:type="spellStart"/>
      <w:r>
        <w:rPr>
          <w:rFonts w:ascii="Garamond" w:eastAsia="Calibri" w:hAnsi="Garamond" w:cs="Garamond-Bold"/>
          <w:sz w:val="20"/>
          <w:szCs w:val="20"/>
          <w:lang w:val="en-GB"/>
        </w:rPr>
        <w:t>Bouwknegt</w:t>
      </w:r>
      <w:proofErr w:type="spellEnd"/>
      <w:r>
        <w:rPr>
          <w:rFonts w:ascii="Garamond" w:eastAsia="Calibri" w:hAnsi="Garamond" w:cs="Garamond-Bold"/>
          <w:sz w:val="20"/>
          <w:szCs w:val="20"/>
          <w:lang w:val="en-GB"/>
        </w:rPr>
        <w:t xml:space="preserve"> &amp; </w:t>
      </w:r>
      <w:proofErr w:type="spellStart"/>
      <w:r>
        <w:rPr>
          <w:rFonts w:ascii="Garamond" w:eastAsia="Calibri" w:hAnsi="Garamond" w:cs="Garamond-Bold"/>
          <w:sz w:val="20"/>
          <w:szCs w:val="20"/>
          <w:lang w:val="en-GB"/>
        </w:rPr>
        <w:t>SanneBijlsma</w:t>
      </w:r>
      <w:proofErr w:type="spellEnd"/>
      <w:r>
        <w:rPr>
          <w:rFonts w:ascii="Garamond" w:eastAsia="Calibri" w:hAnsi="Garamond" w:cs="Garamond-Bold"/>
          <w:sz w:val="20"/>
          <w:szCs w:val="20"/>
          <w:lang w:val="en-GB"/>
        </w:rPr>
        <w:t>)</w:t>
      </w:r>
    </w:p>
    <w:p w:rsidR="005D0326" w:rsidRDefault="005D0326" w:rsidP="005D0326">
      <w:pPr>
        <w:autoSpaceDE w:val="0"/>
        <w:autoSpaceDN w:val="0"/>
        <w:adjustRightInd w:val="0"/>
        <w:ind w:left="360"/>
        <w:jc w:val="both"/>
        <w:rPr>
          <w:rFonts w:ascii="Garamond" w:eastAsia="Calibri" w:hAnsi="Garamond" w:cs="Garamond-Bold"/>
          <w:lang w:val="en-GB"/>
        </w:rPr>
      </w:pPr>
    </w:p>
    <w:p w:rsidR="005D0326" w:rsidRDefault="005D0326" w:rsidP="005D0326">
      <w:pPr>
        <w:numPr>
          <w:ilvl w:val="0"/>
          <w:numId w:val="2"/>
        </w:numPr>
        <w:autoSpaceDE w:val="0"/>
        <w:autoSpaceDN w:val="0"/>
        <w:adjustRightInd w:val="0"/>
        <w:spacing w:after="0" w:line="240" w:lineRule="auto"/>
        <w:jc w:val="both"/>
        <w:rPr>
          <w:rFonts w:ascii="Garamond" w:eastAsia="Calibri" w:hAnsi="Garamond" w:cs="Garamond-Bold"/>
          <w:lang w:val="en-GB"/>
        </w:rPr>
      </w:pPr>
      <w:r>
        <w:rPr>
          <w:rFonts w:ascii="Garamond" w:eastAsia="Calibri" w:hAnsi="Garamond" w:cs="Garamond-Bold"/>
          <w:lang w:val="en-GB"/>
        </w:rPr>
        <w:t>THE INDIVIDUAL CHANGE THEORY</w:t>
      </w:r>
      <w:r>
        <w:rPr>
          <w:rFonts w:ascii="Garamond" w:eastAsia="Calibri" w:hAnsi="Garamond" w:cs="Garamond-Light"/>
          <w:lang w:val="en-GB"/>
        </w:rPr>
        <w:t>: Peace comes through transformative change of a critical mass of individuals, their consciousness, attitudes, behaviours, and skills. [Methods: investment in individual change through training, personal transformation/consciousness-raising workshops or processes; dialogues and encounter groups; trauma healing.]</w:t>
      </w:r>
    </w:p>
    <w:p w:rsidR="005D0326" w:rsidRDefault="005D0326" w:rsidP="005D0326">
      <w:pPr>
        <w:numPr>
          <w:ilvl w:val="0"/>
          <w:numId w:val="2"/>
        </w:numPr>
        <w:autoSpaceDE w:val="0"/>
        <w:autoSpaceDN w:val="0"/>
        <w:adjustRightInd w:val="0"/>
        <w:spacing w:after="0" w:line="240" w:lineRule="auto"/>
        <w:jc w:val="both"/>
        <w:rPr>
          <w:rFonts w:ascii="Garamond" w:eastAsia="Calibri" w:hAnsi="Garamond" w:cs="Garamond-Bold"/>
          <w:lang w:val="en-GB"/>
        </w:rPr>
      </w:pPr>
      <w:r>
        <w:rPr>
          <w:rFonts w:ascii="Garamond" w:eastAsia="Calibri" w:hAnsi="Garamond" w:cs="Garamond-Bold"/>
          <w:lang w:val="en-GB"/>
        </w:rPr>
        <w:t>THE HEALTHY RELATIONSHIPS AND CONNECTIONS THEORY</w:t>
      </w:r>
      <w:r>
        <w:rPr>
          <w:rFonts w:ascii="Garamond" w:eastAsia="Calibri" w:hAnsi="Garamond" w:cs="Garamond-Light"/>
          <w:lang w:val="en-GB"/>
        </w:rPr>
        <w:t>: Peace emerges out of a process of breaking down isolation, polarization, division, prejudice and stereotypes between/among groups. Strong relationships are a necessary ingredient for peace building. [Methods: processes of inter-group dialogue; networking; relationship-building processes; joint efforts and practical programs on substantive problems.]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Bold"/>
          <w:lang w:val="en-GB"/>
        </w:rPr>
        <w:t>THE WITHDRAWAL OF THE RESOURCES FOR WAR THEORY</w:t>
      </w:r>
      <w:r>
        <w:rPr>
          <w:rFonts w:ascii="Garamond" w:eastAsia="Calibri" w:hAnsi="Garamond" w:cs="Garamond-Light"/>
          <w:lang w:val="en-GB"/>
        </w:rPr>
        <w:t>: Wars require vast amounts of material (weapons, supplies, transport, etc.) and human capital. If we can interrupt the supply of people and goods to the war-making system, it will collapse and peace will break out. [Methods: anti-war campaigns to cut off funds/national budgets; conscientious objection and/or resistance to military service; international arms control; arms (and other) embargoes and boycotts.]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Bold"/>
          <w:lang w:val="en-GB"/>
        </w:rPr>
        <w:t>THE REDUCTION OF VIOLENCE THEORY</w:t>
      </w:r>
      <w:r>
        <w:rPr>
          <w:rFonts w:ascii="Garamond" w:eastAsia="Calibri" w:hAnsi="Garamond" w:cs="Garamond-Light"/>
          <w:lang w:val="en-GB"/>
        </w:rPr>
        <w:t>: Peace will result as we reduce the levels of violence perpetrated by combatants or their representatives. [Methods: cease-fires, creation of zones of peace, withdrawal/retreat from direct engagement, introduction of peacekeeping forces/interposition, observation missions, accompaniment efforts, promotion of non-violent methods for achieving political/social/economic ends.]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Times New Roman"/>
          <w:color w:val="000000"/>
          <w:lang w:val="en-GB"/>
        </w:rPr>
      </w:pPr>
      <w:r>
        <w:rPr>
          <w:rFonts w:ascii="Garamond" w:eastAsia="Calibri" w:hAnsi="Garamond" w:cs="Garamond-Bold"/>
          <w:lang w:val="en-GB"/>
        </w:rPr>
        <w:t>THE ROOT CAUSES/JUSTICE THEORY</w:t>
      </w:r>
      <w:r>
        <w:rPr>
          <w:rFonts w:ascii="Garamond" w:eastAsia="Calibri" w:hAnsi="Garamond" w:cs="Garamond-Light"/>
          <w:lang w:val="en-GB"/>
        </w:rPr>
        <w:t xml:space="preserve">: We can achieve peace by addressing the underlying issues of injustice, oppression/exploitation, </w:t>
      </w:r>
      <w:proofErr w:type="gramStart"/>
      <w:r>
        <w:rPr>
          <w:rFonts w:ascii="Garamond" w:eastAsia="Calibri" w:hAnsi="Garamond" w:cs="Garamond-Light"/>
          <w:lang w:val="en-GB"/>
        </w:rPr>
        <w:t>threats</w:t>
      </w:r>
      <w:proofErr w:type="gramEnd"/>
      <w:r>
        <w:rPr>
          <w:rFonts w:ascii="Garamond" w:eastAsia="Calibri" w:hAnsi="Garamond" w:cs="Garamond-Light"/>
          <w:lang w:val="en-GB"/>
        </w:rPr>
        <w:t xml:space="preserve"> to identity and security, and people’s sense of injury/victimization. [Methods: long-term campaigns for social and structural change, truth and reconciliation; changes in social institutions, laws, regulations, and economic systems.]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Bold"/>
          <w:lang w:val="en-GB"/>
        </w:rPr>
        <w:t>THE INSTITUTIONAL DEVELOPMENT THEORY</w:t>
      </w:r>
      <w:r>
        <w:rPr>
          <w:rFonts w:ascii="Garamond" w:eastAsia="Calibri" w:hAnsi="Garamond" w:cs="Garamond-Light"/>
          <w:lang w:val="en-GB"/>
        </w:rPr>
        <w:t>: Peace is secured by establishing stable/reliable social institutions that guarantee democracy, equity, justice, and fair allocation of resources. [Methods: new constitutional and governance arrangements/entities; development of human rights, rule of law, anti-corruption; establishment of democratic/equitable economic structures; economic development; democratization.]</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Bold"/>
          <w:lang w:val="en-GB"/>
        </w:rPr>
        <w:t>THE POLITICAL ELITES THEORY</w:t>
      </w:r>
      <w:r>
        <w:rPr>
          <w:rFonts w:ascii="Garamond" w:eastAsia="Calibri" w:hAnsi="Garamond" w:cs="Garamond-Light"/>
          <w:lang w:val="en-GB"/>
        </w:rPr>
        <w:t>: Peace comes when it is in the interest of political (and other) leaders to take the necessary steps. Peace building efforts must change the political calculus of key leaders and groups. [Methods: raise the costs and reduce the benefits for political elites of continuing war while increasing the incentives for peace; engage active and influential constituencies in favour of peace; withdraw international support/funding for warring parties.]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Light"/>
          <w:lang w:val="en-GB"/>
        </w:rPr>
        <w:t xml:space="preserve"> </w:t>
      </w:r>
      <w:r>
        <w:rPr>
          <w:rFonts w:ascii="Garamond" w:eastAsia="Calibri" w:hAnsi="Garamond" w:cs="Garamond-Bold"/>
          <w:lang w:val="en-GB"/>
        </w:rPr>
        <w:t>THE GRASSROOTS MOBILIZATION THEORY</w:t>
      </w:r>
      <w:r>
        <w:rPr>
          <w:rFonts w:ascii="Garamond" w:eastAsia="Calibri" w:hAnsi="Garamond" w:cs="Garamond-Light"/>
          <w:lang w:val="en-GB"/>
        </w:rPr>
        <w:t>: “When the people lead, the leaders will follow.” If we mobilize enough opposition to war, political leaders will have to pay attention. [Methods: mobilize grassroots groups to either oppose war or to advocate for positive action; non-violent direct action campaigns; use of the media; education/mobilization efforts; organize advocacy groups; dramatic events to raise consciousness.]</w:t>
      </w:r>
    </w:p>
    <w:p w:rsidR="005D0326" w:rsidRDefault="005D0326" w:rsidP="005D0326">
      <w:pPr>
        <w:numPr>
          <w:ilvl w:val="0"/>
          <w:numId w:val="1"/>
        </w:numPr>
        <w:autoSpaceDE w:val="0"/>
        <w:autoSpaceDN w:val="0"/>
        <w:adjustRightInd w:val="0"/>
        <w:spacing w:after="0" w:line="240" w:lineRule="auto"/>
        <w:jc w:val="both"/>
        <w:rPr>
          <w:rFonts w:ascii="Garamond" w:eastAsia="Calibri" w:hAnsi="Garamond" w:cs="Garamond-Light"/>
          <w:lang w:val="en-GB"/>
        </w:rPr>
      </w:pPr>
      <w:r>
        <w:rPr>
          <w:rFonts w:ascii="Garamond" w:eastAsia="Calibri" w:hAnsi="Garamond" w:cs="Garamond-Bold"/>
          <w:lang w:val="en-GB"/>
        </w:rPr>
        <w:t>THE ECONOMICS THEORY</w:t>
      </w:r>
      <w:r>
        <w:rPr>
          <w:rFonts w:ascii="Garamond" w:eastAsia="Calibri" w:hAnsi="Garamond" w:cs="Garamond-Light"/>
          <w:lang w:val="en-GB"/>
        </w:rPr>
        <w:t>: As a politician once said, “It’s the economy, stupid!” People make personal decisions and decision makers make policy decisions based on a system of rewards/incentives and punishments/sanctions that are essentially economic in nature. If we can change the economies associated with war making, we can bring peace. [Methods: use of government or financial institutions to change supply and demand dynamics; control incentive and reward systems; boycotts.]</w:t>
      </w:r>
    </w:p>
    <w:p w:rsidR="005D0326" w:rsidRPr="005D0326" w:rsidRDefault="005D0326" w:rsidP="005D0326">
      <w:pPr>
        <w:numPr>
          <w:ilvl w:val="0"/>
          <w:numId w:val="1"/>
        </w:numPr>
        <w:autoSpaceDE w:val="0"/>
        <w:autoSpaceDN w:val="0"/>
        <w:adjustRightInd w:val="0"/>
        <w:spacing w:after="0" w:line="240" w:lineRule="auto"/>
        <w:jc w:val="both"/>
        <w:rPr>
          <w:lang w:val="en-US"/>
        </w:rPr>
      </w:pPr>
      <w:r w:rsidRPr="005D0326">
        <w:rPr>
          <w:rFonts w:ascii="Garamond" w:eastAsia="Calibri" w:hAnsi="Garamond" w:cs="Garamond-Bold"/>
          <w:lang w:val="en-GB"/>
        </w:rPr>
        <w:t>THE PUBLIC ATTITUDES THEORY</w:t>
      </w:r>
      <w:r w:rsidRPr="005D0326">
        <w:rPr>
          <w:rFonts w:ascii="Garamond" w:eastAsia="Calibri" w:hAnsi="Garamond" w:cs="Garamond-Light"/>
          <w:lang w:val="en-GB"/>
        </w:rPr>
        <w:t>: War and violence are partly motivated by prejudice, misperceptions, and intolerance of difference. We can promote peace by using the media (television and radio) to change public attitudes and build greater tolerance in society. [Methods: Television and radio programs that promote tolerance; modelling tolerant behaviour; symbolic acts of solidarity/unity; dialogues among groups in conflict—with subsequent publicity.]</w:t>
      </w:r>
    </w:p>
    <w:p w:rsidR="008C16FF" w:rsidRPr="005D0326" w:rsidRDefault="005D1E6C">
      <w:pPr>
        <w:rPr>
          <w:lang w:val="en-US"/>
        </w:rPr>
      </w:pPr>
    </w:p>
    <w:sectPr w:rsidR="008C16FF" w:rsidRPr="005D0326" w:rsidSect="007A680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Garamond-Bold">
    <w:panose1 w:val="00000000000000000000"/>
    <w:charset w:val="00"/>
    <w:family w:val="roman"/>
    <w:notTrueType/>
    <w:pitch w:val="default"/>
    <w:sig w:usb0="00000003" w:usb1="00000000" w:usb2="00000000" w:usb3="00000000" w:csb0="00000001" w:csb1="00000000"/>
  </w:font>
  <w:font w:name="Garamond-Ligh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83007E"/>
    <w:multiLevelType w:val="hybridMultilevel"/>
    <w:tmpl w:val="25A2FC66"/>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713302B8"/>
    <w:multiLevelType w:val="hybridMultilevel"/>
    <w:tmpl w:val="0ECCFCF0"/>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D0326"/>
    <w:rsid w:val="001C35BA"/>
    <w:rsid w:val="00343B7A"/>
    <w:rsid w:val="005D0326"/>
    <w:rsid w:val="005D1E6C"/>
    <w:rsid w:val="00615725"/>
    <w:rsid w:val="007A6803"/>
    <w:rsid w:val="009B1CFB"/>
    <w:rsid w:val="00FA4AB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3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913</Words>
  <Characters>5026</Characters>
  <Application>Microsoft Office Word</Application>
  <DocSecurity>0</DocSecurity>
  <Lines>41</Lines>
  <Paragraphs>11</Paragraphs>
  <ScaleCrop>false</ScaleCrop>
  <Company/>
  <LinksUpToDate>false</LinksUpToDate>
  <CharactersWithSpaces>5928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Gerd</dc:creator>
  <cp:lastModifiedBy>Gerd</cp:lastModifiedBy>
  <cp:revision>2</cp:revision>
  <cp:lastPrinted>2012-11-26T09:53:00Z</cp:lastPrinted>
  <dcterms:created xsi:type="dcterms:W3CDTF">2012-11-26T09:50:00Z</dcterms:created>
  <dcterms:modified xsi:type="dcterms:W3CDTF">2012-11-26T09:58:00Z</dcterms:modified>
</cp:coreProperties>
</file>